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695D03C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D6E4A">
        <w:rPr>
          <w:rFonts w:ascii="Tahoma" w:eastAsia="Calibri" w:hAnsi="Tahoma" w:cs="Tahoma"/>
          <w:kern w:val="0"/>
          <w:szCs w:val="22"/>
          <w:lang w:eastAsia="en-US"/>
        </w:rPr>
        <w:t>24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.05.2022r.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153F062B" w14:textId="64883A86" w:rsidR="00BA23BE" w:rsidRPr="00BA23BE" w:rsidRDefault="003D6E4A" w:rsidP="00BA23BE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DDC5785" w14:textId="77777777" w:rsidR="00BA23BE" w:rsidRPr="00BA23BE" w:rsidRDefault="00BA23BE" w:rsidP="00BA23BE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2581E1AA" w14:textId="77777777" w:rsidR="00A22092" w:rsidRPr="00A22092" w:rsidRDefault="00A22092" w:rsidP="00A22092">
      <w:pPr>
        <w:suppressAutoHyphens w:val="0"/>
        <w:overflowPunct/>
        <w:autoSpaceDE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02BAF6FA" w14:textId="77777777" w:rsidR="00A22092" w:rsidRPr="00A22092" w:rsidRDefault="00A22092" w:rsidP="00A22092">
      <w:pPr>
        <w:suppressAutoHyphens w:val="0"/>
        <w:overflowPunct/>
        <w:autoSpaceDE/>
        <w:spacing w:line="72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</w:p>
    <w:p w14:paraId="59A17B7B" w14:textId="7151A733" w:rsidR="00A22092" w:rsidRPr="00A22092" w:rsidRDefault="00A22092" w:rsidP="00A22092">
      <w:pPr>
        <w:tabs>
          <w:tab w:val="left" w:pos="900"/>
          <w:tab w:val="left" w:pos="1080"/>
        </w:tabs>
        <w:suppressAutoHyphens w:val="0"/>
        <w:overflowPunct/>
        <w:autoSpaceDE/>
        <w:spacing w:after="48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>”</w:t>
      </w:r>
    </w:p>
    <w:p w14:paraId="230B1366" w14:textId="77777777" w:rsidR="00A22092" w:rsidRPr="00A22092" w:rsidRDefault="00A22092" w:rsidP="00A22092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>Działając na podstawie art. 260 ust. 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informuje, że unieważnił przedmiotowe postępowanie o udzielenie zamówienia publicznego.   </w:t>
      </w:r>
    </w:p>
    <w:p w14:paraId="7AF4083E" w14:textId="77777777" w:rsidR="00A22092" w:rsidRPr="00A22092" w:rsidRDefault="00A22092" w:rsidP="00A22092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7EED2AB4" w14:textId="77777777" w:rsidR="00A22092" w:rsidRPr="00A22092" w:rsidRDefault="00A22092" w:rsidP="00A22092">
      <w:pPr>
        <w:suppressAutoHyphens w:val="0"/>
        <w:overflowPunct/>
        <w:autoSpaceDE/>
        <w:spacing w:after="120"/>
        <w:jc w:val="both"/>
        <w:textAlignment w:val="auto"/>
        <w:rPr>
          <w:rFonts w:ascii="Tahoma" w:eastAsia="Calibri" w:hAnsi="Tahoma" w:cs="Tahoma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u w:val="single"/>
          <w:lang w:eastAsia="en-US"/>
        </w:rPr>
        <w:t>Uzasadnienie prawne</w:t>
      </w:r>
    </w:p>
    <w:p w14:paraId="6B8C4914" w14:textId="77777777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1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nie złożono żadnego wniosku o dopuszczenie do udziału w postępowaniu albo żadnej oferty.</w:t>
      </w:r>
    </w:p>
    <w:p w14:paraId="7FDC70AF" w14:textId="77777777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Uzasadnienie faktyczne</w:t>
      </w:r>
    </w:p>
    <w:p w14:paraId="46DBE37C" w14:textId="77777777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W prowadzonym postępowaniu przetargowym o udzielenie zamówienia nie wpłynęła żadna oferta. </w:t>
      </w:r>
    </w:p>
    <w:p w14:paraId="7CB2D3E6" w14:textId="77777777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Pouczenie:</w:t>
      </w:r>
    </w:p>
    <w:p w14:paraId="7378262C" w14:textId="77777777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36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0554D7E2" w14:textId="77777777" w:rsidR="00BA23BE" w:rsidRPr="00BA23BE" w:rsidRDefault="00BA23BE" w:rsidP="00BA23BE">
      <w:pPr>
        <w:tabs>
          <w:tab w:val="left" w:pos="4820"/>
        </w:tabs>
        <w:suppressAutoHyphens w:val="0"/>
        <w:overflowPunct/>
        <w:autoSpaceDE/>
        <w:spacing w:before="120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</w:p>
    <w:p w14:paraId="541F2564" w14:textId="77777777" w:rsidR="000B51FB" w:rsidRPr="00BA23BE" w:rsidRDefault="000B51FB" w:rsidP="000B51FB">
      <w:pPr>
        <w:tabs>
          <w:tab w:val="num" w:pos="540"/>
        </w:tabs>
        <w:suppressAutoHyphens w:val="0"/>
        <w:overflowPunct/>
        <w:autoSpaceDE/>
        <w:spacing w:before="120" w:after="120" w:line="276" w:lineRule="auto"/>
        <w:ind w:left="5245" w:firstLine="142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>Wójt Gminy Mszana</w:t>
      </w:r>
    </w:p>
    <w:p w14:paraId="49EA5F38" w14:textId="77777777" w:rsidR="000B51FB" w:rsidRPr="00BA23BE" w:rsidRDefault="000B51FB" w:rsidP="000B51FB">
      <w:pPr>
        <w:tabs>
          <w:tab w:val="left" w:pos="4820"/>
        </w:tabs>
        <w:suppressAutoHyphens w:val="0"/>
        <w:overflowPunct/>
        <w:autoSpaceDE/>
        <w:spacing w:before="120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  <w:t>/-/ mgr Mirosław Szymanek</w:t>
      </w: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7193" w14:textId="77777777" w:rsidR="001975A6" w:rsidRDefault="001975A6" w:rsidP="00DA5839">
      <w:r>
        <w:separator/>
      </w:r>
    </w:p>
  </w:endnote>
  <w:endnote w:type="continuationSeparator" w:id="0">
    <w:p w14:paraId="6398A501" w14:textId="77777777" w:rsidR="001975A6" w:rsidRDefault="001975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1975A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8437" w14:textId="77777777" w:rsidR="001975A6" w:rsidRDefault="001975A6" w:rsidP="00DA5839">
      <w:r>
        <w:separator/>
      </w:r>
    </w:p>
  </w:footnote>
  <w:footnote w:type="continuationSeparator" w:id="0">
    <w:p w14:paraId="6A512AD8" w14:textId="77777777" w:rsidR="001975A6" w:rsidRDefault="001975A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84AD6A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9295E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51FB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5A6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AF5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8AB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092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00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2A9A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2BB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169D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7729C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E5FC1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2022-05-24T09:32:00Z</dcterms:modified>
</cp:coreProperties>
</file>